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2892"/>
        <w:gridCol w:w="6294"/>
        <w:gridCol w:w="174"/>
      </w:tblGrid>
      <w:tr w:rsidR="00C247CF" w14:paraId="72B24DA0" w14:textId="77777777" w:rsidTr="00C247CF">
        <w:trPr>
          <w:gridAfter w:val="1"/>
          <w:wAfter w:w="180" w:type="dxa"/>
        </w:trPr>
        <w:tc>
          <w:tcPr>
            <w:tcW w:w="6750" w:type="dxa"/>
            <w:gridSpan w:val="2"/>
            <w:tcMar>
              <w:top w:w="0" w:type="dxa"/>
              <w:left w:w="108" w:type="dxa"/>
              <w:bottom w:w="0" w:type="dxa"/>
              <w:right w:w="108" w:type="dxa"/>
            </w:tcMar>
            <w:hideMark/>
          </w:tcPr>
          <w:p w14:paraId="28377271" w14:textId="77777777" w:rsidR="00C247CF" w:rsidRDefault="00C247CF">
            <w:pPr>
              <w:spacing w:after="80"/>
              <w:rPr>
                <w:rFonts w:cs="Arial"/>
                <w:sz w:val="23"/>
                <w:szCs w:val="23"/>
              </w:rPr>
            </w:pPr>
            <w:r>
              <w:rPr>
                <w:rFonts w:cs="Arial"/>
                <w:spacing w:val="6"/>
                <w:sz w:val="16"/>
                <w:szCs w:val="16"/>
              </w:rPr>
              <w:t xml:space="preserve">State of </w:t>
            </w:r>
            <w:smartTag w:uri="urn:schemas-microsoft-com:office:smarttags" w:element="State">
              <w:r>
                <w:rPr>
                  <w:rFonts w:cs="Arial"/>
                  <w:spacing w:val="6"/>
                  <w:sz w:val="16"/>
                  <w:szCs w:val="16"/>
                </w:rPr>
                <w:t>California</w:t>
              </w:r>
            </w:smartTag>
            <w:r>
              <w:rPr>
                <w:rFonts w:cs="Arial"/>
                <w:spacing w:val="6"/>
                <w:sz w:val="16"/>
                <w:szCs w:val="16"/>
              </w:rPr>
              <w:t xml:space="preserve">  </w:t>
            </w:r>
            <w:r>
              <w:rPr>
                <w:rFonts w:ascii="Symbol" w:hAnsi="Symbol" w:cs="Arial"/>
                <w:spacing w:val="6"/>
                <w:sz w:val="16"/>
                <w:szCs w:val="16"/>
              </w:rPr>
              <w:t></w:t>
            </w:r>
            <w:r>
              <w:rPr>
                <w:rFonts w:cs="Arial"/>
                <w:spacing w:val="6"/>
                <w:sz w:val="16"/>
                <w:szCs w:val="16"/>
              </w:rPr>
              <w:t xml:space="preserve">  Department of General Services  </w:t>
            </w:r>
            <w:r>
              <w:rPr>
                <w:rFonts w:ascii="Symbol" w:hAnsi="Symbol" w:cs="Arial"/>
                <w:spacing w:val="6"/>
                <w:sz w:val="16"/>
                <w:szCs w:val="16"/>
              </w:rPr>
              <w:t></w:t>
            </w:r>
            <w:r>
              <w:rPr>
                <w:rFonts w:cs="Arial"/>
                <w:spacing w:val="6"/>
                <w:sz w:val="16"/>
                <w:szCs w:val="16"/>
              </w:rPr>
              <w:t xml:space="preserve">  </w:t>
            </w:r>
            <w:smartTag w:uri="urn:schemas-microsoft-com:office:smarttags" w:element="City">
              <w:smartTag w:uri="urn:schemas-microsoft-com:office:smarttags" w:element="place">
                <w:r>
                  <w:rPr>
                    <w:rFonts w:cs="Arial"/>
                    <w:spacing w:val="6"/>
                    <w:sz w:val="16"/>
                    <w:szCs w:val="16"/>
                  </w:rPr>
                  <w:t>Arnold</w:t>
                </w:r>
              </w:smartTag>
            </w:smartTag>
            <w:r>
              <w:rPr>
                <w:rFonts w:cs="Arial"/>
                <w:spacing w:val="6"/>
                <w:sz w:val="16"/>
                <w:szCs w:val="16"/>
              </w:rPr>
              <w:t xml:space="preserve"> Schwarzenegger, Governor</w:t>
            </w:r>
          </w:p>
          <w:p w14:paraId="722E16B7" w14:textId="77777777" w:rsidR="00C247CF" w:rsidRDefault="00C247CF">
            <w:pPr>
              <w:spacing w:line="280" w:lineRule="atLeast"/>
              <w:rPr>
                <w:rFonts w:cs="Arial"/>
                <w:sz w:val="23"/>
                <w:szCs w:val="23"/>
              </w:rPr>
            </w:pPr>
            <w:r>
              <w:rPr>
                <w:rFonts w:ascii="Arial Black" w:hAnsi="Arial Black" w:cs="Arial"/>
                <w:b/>
                <w:bCs/>
                <w:spacing w:val="28"/>
                <w:sz w:val="28"/>
                <w:szCs w:val="28"/>
              </w:rPr>
              <w:t>REAL ESTATE SERVICES DIVISION</w:t>
            </w:r>
          </w:p>
          <w:p w14:paraId="6D2A5720" w14:textId="77777777" w:rsidR="00C247CF" w:rsidRDefault="00C247CF">
            <w:pPr>
              <w:spacing w:after="60" w:line="200" w:lineRule="atLeast"/>
              <w:rPr>
                <w:rFonts w:cs="Arial"/>
                <w:sz w:val="23"/>
                <w:szCs w:val="23"/>
              </w:rPr>
            </w:pPr>
            <w:r>
              <w:rPr>
                <w:rFonts w:ascii="Arial Black" w:hAnsi="Arial Black" w:cs="Arial"/>
                <w:spacing w:val="120"/>
                <w:sz w:val="18"/>
                <w:szCs w:val="18"/>
              </w:rPr>
              <w:t>Professional</w:t>
            </w:r>
            <w:r>
              <w:rPr>
                <w:rFonts w:ascii="Arial Black" w:hAnsi="Arial Black" w:cs="Arial"/>
                <w:spacing w:val="180"/>
                <w:sz w:val="18"/>
                <w:szCs w:val="18"/>
              </w:rPr>
              <w:t xml:space="preserve"> </w:t>
            </w:r>
            <w:r>
              <w:rPr>
                <w:rFonts w:ascii="Arial Black" w:hAnsi="Arial Black" w:cs="Arial"/>
                <w:spacing w:val="120"/>
                <w:sz w:val="18"/>
                <w:szCs w:val="18"/>
              </w:rPr>
              <w:t>Services</w:t>
            </w:r>
            <w:r>
              <w:rPr>
                <w:rFonts w:ascii="Arial Black" w:hAnsi="Arial Black" w:cs="Arial"/>
                <w:spacing w:val="180"/>
                <w:sz w:val="18"/>
                <w:szCs w:val="18"/>
              </w:rPr>
              <w:t xml:space="preserve"> </w:t>
            </w:r>
            <w:r>
              <w:rPr>
                <w:rFonts w:ascii="Arial Black" w:hAnsi="Arial Black" w:cs="Arial"/>
                <w:spacing w:val="120"/>
                <w:sz w:val="18"/>
                <w:szCs w:val="18"/>
              </w:rPr>
              <w:t>Branch</w:t>
            </w:r>
          </w:p>
          <w:p w14:paraId="0C5D4F27" w14:textId="77777777" w:rsidR="00C247CF" w:rsidRDefault="00C247CF">
            <w:pPr>
              <w:spacing w:after="120"/>
              <w:rPr>
                <w:rFonts w:cs="Arial"/>
                <w:sz w:val="23"/>
                <w:szCs w:val="23"/>
              </w:rPr>
            </w:pPr>
            <w:r>
              <w:rPr>
                <w:rFonts w:cs="Arial"/>
                <w:spacing w:val="24"/>
                <w:sz w:val="16"/>
                <w:szCs w:val="16"/>
              </w:rPr>
              <w:t xml:space="preserve">707 </w:t>
            </w:r>
            <w:smartTag w:uri="urn:schemas-microsoft-com:office:smarttags" w:element="address">
              <w:smartTag w:uri="urn:schemas-microsoft-com:office:smarttags" w:element="Street">
                <w:r>
                  <w:rPr>
                    <w:rFonts w:cs="Arial"/>
                    <w:spacing w:val="24"/>
                    <w:sz w:val="16"/>
                    <w:szCs w:val="16"/>
                  </w:rPr>
                  <w:t>Third Street</w:t>
                </w:r>
              </w:smartTag>
            </w:smartTag>
            <w:r>
              <w:rPr>
                <w:rFonts w:cs="Arial"/>
                <w:spacing w:val="24"/>
                <w:sz w:val="16"/>
                <w:szCs w:val="16"/>
              </w:rPr>
              <w:t>, 5</w:t>
            </w:r>
            <w:r>
              <w:rPr>
                <w:rFonts w:cs="Arial"/>
                <w:spacing w:val="24"/>
                <w:sz w:val="16"/>
                <w:szCs w:val="16"/>
                <w:vertAlign w:val="superscript"/>
              </w:rPr>
              <w:t>th</w:t>
            </w:r>
            <w:r>
              <w:rPr>
                <w:rFonts w:cs="Arial"/>
                <w:spacing w:val="24"/>
                <w:sz w:val="16"/>
                <w:szCs w:val="16"/>
              </w:rPr>
              <w:t xml:space="preserve"> Floor   </w:t>
            </w:r>
            <w:r>
              <w:rPr>
                <w:rFonts w:ascii="Symbol" w:hAnsi="Symbol" w:cs="Arial"/>
                <w:spacing w:val="24"/>
                <w:sz w:val="16"/>
                <w:szCs w:val="16"/>
              </w:rPr>
              <w:t></w:t>
            </w:r>
            <w:r>
              <w:rPr>
                <w:rFonts w:cs="Arial"/>
                <w:spacing w:val="24"/>
                <w:sz w:val="16"/>
                <w:szCs w:val="16"/>
              </w:rPr>
              <w:t xml:space="preserve">   </w:t>
            </w:r>
            <w:smartTag w:uri="urn:schemas-microsoft-com:office:smarttags" w:element="place">
              <w:smartTag w:uri="urn:schemas-microsoft-com:office:smarttags" w:element="City">
                <w:r>
                  <w:rPr>
                    <w:rFonts w:cs="Arial"/>
                    <w:spacing w:val="24"/>
                    <w:sz w:val="16"/>
                    <w:szCs w:val="16"/>
                  </w:rPr>
                  <w:t>West Sacramento</w:t>
                </w:r>
              </w:smartTag>
              <w:r>
                <w:rPr>
                  <w:rFonts w:cs="Arial"/>
                  <w:spacing w:val="24"/>
                  <w:sz w:val="16"/>
                  <w:szCs w:val="16"/>
                </w:rPr>
                <w:t xml:space="preserve">, </w:t>
              </w:r>
              <w:smartTag w:uri="urn:schemas-microsoft-com:office:smarttags" w:element="State">
                <w:r>
                  <w:rPr>
                    <w:rFonts w:cs="Arial"/>
                    <w:spacing w:val="24"/>
                    <w:sz w:val="16"/>
                    <w:szCs w:val="16"/>
                  </w:rPr>
                  <w:t>California</w:t>
                </w:r>
              </w:smartTag>
              <w:r>
                <w:rPr>
                  <w:rFonts w:cs="Arial"/>
                  <w:spacing w:val="24"/>
                  <w:sz w:val="16"/>
                  <w:szCs w:val="16"/>
                </w:rPr>
                <w:t xml:space="preserve">  </w:t>
              </w:r>
              <w:smartTag w:uri="urn:schemas-microsoft-com:office:smarttags" w:element="PostalCode">
                <w:r>
                  <w:rPr>
                    <w:rFonts w:cs="Arial"/>
                    <w:spacing w:val="26"/>
                    <w:sz w:val="16"/>
                    <w:szCs w:val="16"/>
                  </w:rPr>
                  <w:t>95605</w:t>
                </w:r>
              </w:smartTag>
            </w:smartTag>
          </w:p>
        </w:tc>
      </w:tr>
      <w:tr w:rsidR="00C247CF" w14:paraId="2462EBFD" w14:textId="77777777" w:rsidTr="00C247CF">
        <w:tc>
          <w:tcPr>
            <w:tcW w:w="2988" w:type="dxa"/>
            <w:tcMar>
              <w:top w:w="0" w:type="dxa"/>
              <w:left w:w="108" w:type="dxa"/>
              <w:bottom w:w="0" w:type="dxa"/>
              <w:right w:w="108" w:type="dxa"/>
            </w:tcMar>
            <w:hideMark/>
          </w:tcPr>
          <w:p w14:paraId="3D58F7C0" w14:textId="77777777" w:rsidR="00C247CF" w:rsidRDefault="00C247CF">
            <w:pPr>
              <w:jc w:val="center"/>
              <w:rPr>
                <w:rFonts w:cs="Arial"/>
                <w:sz w:val="23"/>
                <w:szCs w:val="23"/>
              </w:rPr>
            </w:pPr>
            <w:r>
              <w:rPr>
                <w:rFonts w:cs="Arial"/>
                <w:sz w:val="12"/>
                <w:szCs w:val="12"/>
              </w:rPr>
              <w:t> </w:t>
            </w:r>
          </w:p>
        </w:tc>
        <w:tc>
          <w:tcPr>
            <w:tcW w:w="6570" w:type="dxa"/>
            <w:tcMar>
              <w:top w:w="0" w:type="dxa"/>
              <w:left w:w="108" w:type="dxa"/>
              <w:bottom w:w="0" w:type="dxa"/>
              <w:right w:w="108" w:type="dxa"/>
            </w:tcMar>
            <w:hideMark/>
          </w:tcPr>
          <w:p w14:paraId="192547B6" w14:textId="77777777" w:rsidR="00C247CF" w:rsidRDefault="00C247CF">
            <w:pPr>
              <w:jc w:val="center"/>
              <w:rPr>
                <w:rFonts w:cs="Arial"/>
                <w:sz w:val="23"/>
                <w:szCs w:val="23"/>
              </w:rPr>
            </w:pPr>
            <w:r>
              <w:rPr>
                <w:rFonts w:cs="Arial"/>
                <w:sz w:val="12"/>
                <w:szCs w:val="12"/>
              </w:rPr>
              <w:t> </w:t>
            </w:r>
          </w:p>
        </w:tc>
        <w:tc>
          <w:tcPr>
            <w:tcW w:w="180" w:type="dxa"/>
            <w:vAlign w:val="center"/>
            <w:hideMark/>
          </w:tcPr>
          <w:p w14:paraId="463CC51E" w14:textId="77777777" w:rsidR="00C247CF" w:rsidRDefault="00C247CF">
            <w:pPr>
              <w:rPr>
                <w:rFonts w:cs="Arial"/>
                <w:sz w:val="23"/>
                <w:szCs w:val="23"/>
              </w:rPr>
            </w:pPr>
            <w:r>
              <w:rPr>
                <w:rFonts w:cs="Arial"/>
                <w:sz w:val="23"/>
                <w:szCs w:val="23"/>
              </w:rPr>
              <w:t> </w:t>
            </w:r>
          </w:p>
        </w:tc>
      </w:tr>
    </w:tbl>
    <w:p w14:paraId="02040575" w14:textId="77777777" w:rsidR="00C247CF" w:rsidRDefault="00C247CF" w:rsidP="00C247CF">
      <w:pPr>
        <w:jc w:val="center"/>
        <w:rPr>
          <w:rFonts w:cs="Arial"/>
          <w:sz w:val="23"/>
          <w:szCs w:val="23"/>
        </w:rPr>
      </w:pPr>
      <w:r>
        <w:rPr>
          <w:rFonts w:cs="Arial"/>
          <w:sz w:val="24"/>
          <w:szCs w:val="24"/>
        </w:rPr>
        <w:t> </w:t>
      </w:r>
    </w:p>
    <w:p w14:paraId="6F5203FC" w14:textId="77777777" w:rsidR="00C247CF" w:rsidRDefault="00C247CF" w:rsidP="00C247CF">
      <w:pPr>
        <w:spacing w:line="240" w:lineRule="atLeast"/>
        <w:jc w:val="center"/>
        <w:rPr>
          <w:rFonts w:cs="Arial"/>
          <w:b/>
          <w:bCs/>
          <w:sz w:val="24"/>
          <w:szCs w:val="24"/>
        </w:rPr>
      </w:pPr>
      <w:r>
        <w:rPr>
          <w:rFonts w:cs="Arial"/>
          <w:b/>
          <w:bCs/>
          <w:color w:val="000000"/>
          <w:sz w:val="24"/>
          <w:szCs w:val="24"/>
        </w:rPr>
        <w:t>DEPARTMENT OF GENERAL SERVICES (DGS)</w:t>
      </w:r>
      <w:r>
        <w:rPr>
          <w:rFonts w:cs="Arial"/>
          <w:b/>
          <w:bCs/>
          <w:sz w:val="24"/>
          <w:szCs w:val="24"/>
        </w:rPr>
        <w:t xml:space="preserve"> </w:t>
      </w:r>
    </w:p>
    <w:p w14:paraId="386FDA61" w14:textId="77777777" w:rsidR="00C247CF" w:rsidRDefault="00C247CF" w:rsidP="00C247CF">
      <w:pPr>
        <w:spacing w:line="240" w:lineRule="atLeast"/>
        <w:jc w:val="center"/>
        <w:rPr>
          <w:rFonts w:cs="Arial"/>
          <w:b/>
          <w:bCs/>
          <w:sz w:val="24"/>
          <w:szCs w:val="24"/>
        </w:rPr>
      </w:pPr>
      <w:r>
        <w:rPr>
          <w:rFonts w:cs="Arial"/>
          <w:b/>
          <w:bCs/>
          <w:sz w:val="24"/>
          <w:szCs w:val="24"/>
        </w:rPr>
        <w:t>APPRAISAL SPECIFICATIONS</w:t>
      </w:r>
    </w:p>
    <w:p w14:paraId="36198126" w14:textId="77777777" w:rsidR="00C247CF" w:rsidRDefault="00C247CF" w:rsidP="00C247CF">
      <w:pPr>
        <w:spacing w:line="240" w:lineRule="atLeast"/>
        <w:jc w:val="center"/>
        <w:rPr>
          <w:rFonts w:ascii="lettergothic" w:hAnsi="lettergothic"/>
          <w:sz w:val="24"/>
          <w:szCs w:val="24"/>
        </w:rPr>
      </w:pPr>
      <w:r>
        <w:rPr>
          <w:rFonts w:cs="Arial"/>
          <w:b/>
          <w:bCs/>
          <w:sz w:val="24"/>
          <w:szCs w:val="24"/>
        </w:rPr>
        <w:t xml:space="preserve"> </w:t>
      </w:r>
      <w:r>
        <w:rPr>
          <w:rFonts w:cs="Arial"/>
          <w:b/>
          <w:bCs/>
          <w:color w:val="000000"/>
          <w:sz w:val="24"/>
          <w:szCs w:val="24"/>
        </w:rPr>
        <w:t>(</w:t>
      </w:r>
      <w:r>
        <w:rPr>
          <w:rFonts w:cs="Arial"/>
          <w:b/>
          <w:bCs/>
          <w:color w:val="000000"/>
          <w:szCs w:val="22"/>
        </w:rPr>
        <w:t>Revised January 1, 2008)</w:t>
      </w:r>
    </w:p>
    <w:p w14:paraId="0B7C5457" w14:textId="77777777" w:rsidR="00C247CF" w:rsidRDefault="00C247CF" w:rsidP="00C247CF">
      <w:pPr>
        <w:spacing w:line="240" w:lineRule="atLeast"/>
        <w:rPr>
          <w:rFonts w:ascii="lettergothic" w:hAnsi="lettergothic"/>
          <w:sz w:val="24"/>
          <w:szCs w:val="24"/>
        </w:rPr>
      </w:pPr>
      <w:r>
        <w:rPr>
          <w:rFonts w:cs="Arial"/>
          <w:b/>
          <w:bCs/>
          <w:color w:val="000000"/>
          <w:szCs w:val="22"/>
        </w:rPr>
        <w:t> </w:t>
      </w:r>
    </w:p>
    <w:p w14:paraId="3BBC56A9" w14:textId="77777777" w:rsidR="00C247CF" w:rsidRDefault="00C247CF" w:rsidP="00C247CF">
      <w:pPr>
        <w:spacing w:line="240" w:lineRule="atLeast"/>
        <w:rPr>
          <w:rFonts w:ascii="lettergothic" w:hAnsi="lettergothic"/>
          <w:sz w:val="24"/>
          <w:szCs w:val="24"/>
        </w:rPr>
      </w:pPr>
      <w:r>
        <w:rPr>
          <w:rFonts w:cs="Arial"/>
          <w:b/>
          <w:bCs/>
          <w:color w:val="000000"/>
          <w:szCs w:val="22"/>
        </w:rPr>
        <w:t>All appraisals must be completed and signed by a State of California Certified Real Estate Appraiser who certifies that the appraisal is in compliance with the Uniform Standards of Professional Appraisal Practice as currently adopted by the Appraisal Standards Board of the Appraisal Foundation.</w:t>
      </w:r>
    </w:p>
    <w:p w14:paraId="43556F0E" w14:textId="77777777" w:rsidR="00C247CF" w:rsidRDefault="00C247CF" w:rsidP="00C247CF">
      <w:pPr>
        <w:spacing w:line="240" w:lineRule="atLeast"/>
        <w:rPr>
          <w:rFonts w:ascii="lettergothic" w:hAnsi="lettergothic"/>
          <w:sz w:val="24"/>
          <w:szCs w:val="24"/>
        </w:rPr>
      </w:pPr>
      <w:r>
        <w:rPr>
          <w:rFonts w:cs="Arial"/>
          <w:szCs w:val="22"/>
        </w:rPr>
        <w:t> </w:t>
      </w:r>
    </w:p>
    <w:p w14:paraId="3F9247E0" w14:textId="77777777" w:rsidR="00C247CF" w:rsidRDefault="00C247CF" w:rsidP="00C247CF">
      <w:pPr>
        <w:snapToGrid w:val="0"/>
        <w:spacing w:line="240" w:lineRule="atLeast"/>
        <w:ind w:right="180"/>
        <w:rPr>
          <w:rFonts w:cs="Arial"/>
          <w:szCs w:val="22"/>
        </w:rPr>
      </w:pPr>
      <w:r>
        <w:rPr>
          <w:rFonts w:cs="Arial"/>
          <w:szCs w:val="22"/>
        </w:rPr>
        <w:t>The principle appraiser who is responsible for developing the appraisal report must certify that they have inspected the subject property and comparable property data whenever physically possible. The following specifications are required when applicable to the assignment:</w:t>
      </w:r>
    </w:p>
    <w:p w14:paraId="69DC2368" w14:textId="77777777" w:rsidR="00C247CF" w:rsidRDefault="00C247CF" w:rsidP="00C247CF">
      <w:pPr>
        <w:spacing w:line="240" w:lineRule="atLeast"/>
        <w:rPr>
          <w:rFonts w:cs="Arial"/>
          <w:sz w:val="23"/>
          <w:szCs w:val="23"/>
        </w:rPr>
      </w:pPr>
      <w:r>
        <w:rPr>
          <w:rFonts w:cs="Arial"/>
          <w:snapToGrid w:val="0"/>
          <w:szCs w:val="22"/>
        </w:rPr>
        <w:t> </w:t>
      </w:r>
    </w:p>
    <w:p w14:paraId="3D472E1D" w14:textId="77777777" w:rsidR="00C247CF" w:rsidRDefault="00C247CF" w:rsidP="00C247CF">
      <w:pPr>
        <w:snapToGrid w:val="0"/>
        <w:spacing w:after="120" w:line="240" w:lineRule="atLeast"/>
        <w:ind w:left="720"/>
        <w:rPr>
          <w:rFonts w:cs="Arial"/>
          <w:sz w:val="18"/>
          <w:szCs w:val="18"/>
        </w:rPr>
      </w:pPr>
      <w:r>
        <w:rPr>
          <w:rFonts w:cs="Arial"/>
          <w:szCs w:val="22"/>
        </w:rPr>
        <w:t>1.    Title page with sufficient identification of appraisal project.</w:t>
      </w:r>
    </w:p>
    <w:p w14:paraId="6EC0E680" w14:textId="77777777" w:rsidR="00C247CF" w:rsidRDefault="00C247CF" w:rsidP="00C247CF">
      <w:pPr>
        <w:snapToGrid w:val="0"/>
        <w:spacing w:after="120" w:line="240" w:lineRule="atLeast"/>
        <w:ind w:left="1170" w:hanging="450"/>
        <w:rPr>
          <w:rFonts w:cs="Arial"/>
          <w:sz w:val="18"/>
          <w:szCs w:val="18"/>
        </w:rPr>
      </w:pPr>
      <w:r>
        <w:rPr>
          <w:rFonts w:cs="Arial"/>
          <w:szCs w:val="22"/>
        </w:rPr>
        <w:t>2.    Letter of transmittal summarizing important assumptions and conclusions, value estimate, date of value, date of report, etc.</w:t>
      </w:r>
    </w:p>
    <w:p w14:paraId="79579FC7" w14:textId="77777777" w:rsidR="00C247CF" w:rsidRDefault="00C247CF" w:rsidP="00C247CF">
      <w:pPr>
        <w:snapToGrid w:val="0"/>
        <w:spacing w:after="120" w:line="240" w:lineRule="atLeast"/>
        <w:ind w:left="720"/>
        <w:rPr>
          <w:rFonts w:cs="Arial"/>
          <w:sz w:val="18"/>
          <w:szCs w:val="18"/>
        </w:rPr>
      </w:pPr>
      <w:r>
        <w:rPr>
          <w:rFonts w:cs="Arial"/>
          <w:szCs w:val="22"/>
        </w:rPr>
        <w:t>3.    Table of contents.</w:t>
      </w:r>
    </w:p>
    <w:p w14:paraId="3199890F" w14:textId="77777777" w:rsidR="00C247CF" w:rsidRDefault="00C247CF" w:rsidP="00C247CF">
      <w:pPr>
        <w:spacing w:after="120" w:line="240" w:lineRule="atLeast"/>
        <w:ind w:left="720"/>
        <w:rPr>
          <w:rFonts w:cs="Arial"/>
          <w:sz w:val="23"/>
          <w:szCs w:val="23"/>
        </w:rPr>
      </w:pPr>
      <w:r>
        <w:rPr>
          <w:rFonts w:cs="Arial"/>
          <w:snapToGrid w:val="0"/>
          <w:szCs w:val="22"/>
        </w:rPr>
        <w:t>4.    Assumptions and Limiting Conditions.</w:t>
      </w:r>
    </w:p>
    <w:p w14:paraId="6A2BD059" w14:textId="77777777" w:rsidR="00C247CF" w:rsidRDefault="00C247CF" w:rsidP="00C247CF">
      <w:pPr>
        <w:snapToGrid w:val="0"/>
        <w:spacing w:after="120" w:line="240" w:lineRule="atLeast"/>
        <w:ind w:left="1170" w:right="180" w:hanging="450"/>
        <w:rPr>
          <w:rFonts w:cs="Arial"/>
          <w:sz w:val="18"/>
          <w:szCs w:val="18"/>
        </w:rPr>
      </w:pPr>
      <w:r>
        <w:rPr>
          <w:rFonts w:cs="Arial"/>
          <w:szCs w:val="22"/>
        </w:rPr>
        <w:t>5.    Description of the scope of work, including the extent of data collection and limitations, if any, in obtaining and analyzing relevant data.</w:t>
      </w:r>
    </w:p>
    <w:p w14:paraId="2DE4E69C" w14:textId="77777777" w:rsidR="00C247CF" w:rsidRDefault="00C247CF" w:rsidP="00C247CF">
      <w:pPr>
        <w:snapToGrid w:val="0"/>
        <w:spacing w:after="120" w:line="240" w:lineRule="atLeast"/>
        <w:ind w:left="1170" w:hanging="450"/>
        <w:rPr>
          <w:rFonts w:cs="Arial"/>
          <w:szCs w:val="22"/>
        </w:rPr>
      </w:pPr>
      <w:r>
        <w:rPr>
          <w:rFonts w:cs="Arial"/>
          <w:szCs w:val="22"/>
        </w:rPr>
        <w:t>6.    Definition of Fair Market Value, as defined by California Code of Civil Procedures, Section 1263.320.</w:t>
      </w:r>
    </w:p>
    <w:p w14:paraId="416FC750" w14:textId="77777777" w:rsidR="00C247CF" w:rsidRDefault="00C247CF" w:rsidP="00C247CF">
      <w:pPr>
        <w:snapToGrid w:val="0"/>
        <w:spacing w:after="120" w:line="240" w:lineRule="atLeast"/>
        <w:ind w:left="1170" w:hanging="450"/>
        <w:rPr>
          <w:rFonts w:cs="Arial"/>
          <w:sz w:val="18"/>
          <w:szCs w:val="18"/>
        </w:rPr>
      </w:pPr>
      <w:r>
        <w:rPr>
          <w:rFonts w:cs="Arial"/>
          <w:szCs w:val="22"/>
        </w:rPr>
        <w:t>7.    Photographs of subject property and comparable data, including significant physical features and the interior of structural improvements if applicable.</w:t>
      </w:r>
    </w:p>
    <w:p w14:paraId="783E1D54" w14:textId="77777777" w:rsidR="00C247CF" w:rsidRDefault="00C247CF" w:rsidP="00C247CF">
      <w:pPr>
        <w:snapToGrid w:val="0"/>
        <w:spacing w:after="120" w:line="240" w:lineRule="atLeast"/>
        <w:ind w:left="1170" w:hanging="450"/>
        <w:rPr>
          <w:rFonts w:cs="Arial"/>
          <w:sz w:val="18"/>
          <w:szCs w:val="18"/>
        </w:rPr>
      </w:pPr>
      <w:r>
        <w:rPr>
          <w:rFonts w:cs="Arial"/>
          <w:szCs w:val="22"/>
        </w:rPr>
        <w:t>8.    Copies of Assessor’s plat maps with the subject parcels marked and an assemblage of all contiguous Assessors’ parcels that depicts the ownership.</w:t>
      </w:r>
    </w:p>
    <w:p w14:paraId="01F8147C" w14:textId="77777777" w:rsidR="00C247CF" w:rsidRDefault="00C247CF" w:rsidP="00C247CF">
      <w:pPr>
        <w:snapToGrid w:val="0"/>
        <w:spacing w:after="120" w:line="240" w:lineRule="atLeast"/>
        <w:ind w:left="720"/>
        <w:rPr>
          <w:rFonts w:cs="Arial"/>
          <w:sz w:val="18"/>
          <w:szCs w:val="18"/>
        </w:rPr>
      </w:pPr>
      <w:r>
        <w:rPr>
          <w:rFonts w:cs="Arial"/>
          <w:szCs w:val="22"/>
        </w:rPr>
        <w:t>9.    A legal description of the subject property if available.</w:t>
      </w:r>
    </w:p>
    <w:p w14:paraId="25367AFE" w14:textId="77777777" w:rsidR="00C247CF" w:rsidRDefault="00C247CF" w:rsidP="00C247CF">
      <w:pPr>
        <w:snapToGrid w:val="0"/>
        <w:spacing w:after="120" w:line="240" w:lineRule="atLeast"/>
        <w:ind w:left="1170" w:hanging="450"/>
        <w:rPr>
          <w:rFonts w:cs="Arial"/>
          <w:sz w:val="18"/>
          <w:szCs w:val="18"/>
        </w:rPr>
      </w:pPr>
      <w:r>
        <w:rPr>
          <w:rFonts w:cs="Arial"/>
          <w:szCs w:val="22"/>
        </w:rPr>
        <w:t xml:space="preserve">10.  For large, remote, or inaccessible parcels, provide aerial photographs or topographical maps depicting the subject boundaries.  </w:t>
      </w:r>
    </w:p>
    <w:p w14:paraId="3619209E" w14:textId="77777777" w:rsidR="00C247CF" w:rsidRDefault="00C247CF" w:rsidP="00C247CF">
      <w:pPr>
        <w:snapToGrid w:val="0"/>
        <w:spacing w:after="120" w:line="240" w:lineRule="atLeast"/>
        <w:ind w:left="1170" w:hanging="450"/>
        <w:rPr>
          <w:rFonts w:cs="Arial"/>
          <w:sz w:val="18"/>
          <w:szCs w:val="18"/>
        </w:rPr>
      </w:pPr>
      <w:r>
        <w:rPr>
          <w:rFonts w:cs="Arial"/>
          <w:szCs w:val="22"/>
        </w:rPr>
        <w:t xml:space="preserve">11.  </w:t>
      </w:r>
      <w:proofErr w:type="gramStart"/>
      <w:r>
        <w:rPr>
          <w:rFonts w:cs="Arial"/>
          <w:szCs w:val="22"/>
        </w:rPr>
        <w:t>Three year</w:t>
      </w:r>
      <w:proofErr w:type="gramEnd"/>
      <w:r>
        <w:rPr>
          <w:rFonts w:cs="Arial"/>
          <w:szCs w:val="22"/>
        </w:rPr>
        <w:t xml:space="preserve"> subject property history, including sales, listings, leases, options, zoning, applications for permits, or other documents or facts that might indicate or affect use or value.</w:t>
      </w:r>
    </w:p>
    <w:p w14:paraId="7D051CAB" w14:textId="77777777" w:rsidR="00C247CF" w:rsidRDefault="00C247CF" w:rsidP="00C247CF">
      <w:pPr>
        <w:snapToGrid w:val="0"/>
        <w:spacing w:after="120" w:line="240" w:lineRule="atLeast"/>
        <w:ind w:left="1170" w:hanging="450"/>
        <w:rPr>
          <w:rFonts w:cs="Arial"/>
          <w:sz w:val="18"/>
          <w:szCs w:val="18"/>
        </w:rPr>
      </w:pPr>
      <w:r>
        <w:rPr>
          <w:rFonts w:cs="Arial"/>
          <w:szCs w:val="22"/>
        </w:rPr>
        <w:t xml:space="preserve">12.  Discussion of any current Agreement of Sale, option, or listing of subject property.  This issue requires increased diligence since state agencies often utilize non-profit organizations to quickly acquire sensitive-habitat parcels using Option Agreements.  However, due to confidentiality clauses, the terms of the Option are often not disclosed to the state.  If the appraiser discovers evidence of an Option, or the possible existence of an Option, and the terms can not be disclosed due to a </w:t>
      </w:r>
      <w:r>
        <w:rPr>
          <w:rFonts w:cs="Arial"/>
          <w:szCs w:val="22"/>
        </w:rPr>
        <w:lastRenderedPageBreak/>
        <w:t>confidentiality clause, then the appraiser is to cease work and contact the client.  Current DGS policy requires disclosure of any Option or Purchase Agreement.  If the Agreement is not made available, DGS will not review the appraisal.</w:t>
      </w:r>
    </w:p>
    <w:p w14:paraId="4829D311" w14:textId="77777777" w:rsidR="00C247CF" w:rsidRDefault="00C247CF" w:rsidP="00C247CF">
      <w:pPr>
        <w:snapToGrid w:val="0"/>
        <w:spacing w:after="120" w:line="240" w:lineRule="atLeast"/>
        <w:ind w:left="720"/>
        <w:rPr>
          <w:rFonts w:cs="Arial"/>
          <w:sz w:val="18"/>
          <w:szCs w:val="18"/>
        </w:rPr>
      </w:pPr>
      <w:r>
        <w:rPr>
          <w:rFonts w:cs="Arial"/>
          <w:szCs w:val="22"/>
        </w:rPr>
        <w:t>13.  Regional, area, and neighborhood analyses.</w:t>
      </w:r>
    </w:p>
    <w:p w14:paraId="07931243" w14:textId="77777777" w:rsidR="00C247CF" w:rsidRDefault="00C247CF" w:rsidP="00C247CF">
      <w:pPr>
        <w:snapToGrid w:val="0"/>
        <w:spacing w:after="120" w:line="240" w:lineRule="atLeast"/>
        <w:ind w:left="1170" w:hanging="450"/>
        <w:rPr>
          <w:rFonts w:cs="Arial"/>
          <w:sz w:val="18"/>
          <w:szCs w:val="18"/>
        </w:rPr>
      </w:pPr>
      <w:r>
        <w:rPr>
          <w:rFonts w:cs="Arial"/>
          <w:szCs w:val="22"/>
        </w:rPr>
        <w:t>14.  Market conditions and trends including identification of the relevant market area, a discussion of supply and demand within the relevant market area (or other areas of competition), and a discussion of the relevant market factors impacting demand for site acquisition or leasing within the relevant market area.</w:t>
      </w:r>
    </w:p>
    <w:p w14:paraId="30305B13" w14:textId="77777777" w:rsidR="00C247CF" w:rsidRDefault="00C247CF" w:rsidP="00C247CF">
      <w:pPr>
        <w:snapToGrid w:val="0"/>
        <w:spacing w:after="120" w:line="240" w:lineRule="atLeast"/>
        <w:ind w:left="1170" w:hanging="450"/>
        <w:rPr>
          <w:rFonts w:cs="Arial"/>
          <w:sz w:val="18"/>
          <w:szCs w:val="18"/>
        </w:rPr>
      </w:pPr>
      <w:r>
        <w:rPr>
          <w:rFonts w:cs="Arial"/>
          <w:szCs w:val="22"/>
        </w:rPr>
        <w:t>15.  Discussion of subject land/site characteristics (size, topography, current use, zoning and land use issues, development entitlements, General Plan designations, utilities, offsite improvements, access, easements and restrictions, flood and earthquake information, toxic hazards, taxes and assessments, etc.)</w:t>
      </w:r>
    </w:p>
    <w:p w14:paraId="4A22AD5C" w14:textId="77777777" w:rsidR="00C247CF" w:rsidRDefault="00C247CF" w:rsidP="00C247CF">
      <w:pPr>
        <w:snapToGrid w:val="0"/>
        <w:spacing w:after="120" w:line="240" w:lineRule="atLeast"/>
        <w:ind w:left="1170" w:right="-90" w:hanging="450"/>
        <w:rPr>
          <w:rFonts w:cs="Arial"/>
          <w:sz w:val="18"/>
          <w:szCs w:val="18"/>
        </w:rPr>
      </w:pPr>
      <w:r>
        <w:rPr>
          <w:rFonts w:cs="Arial"/>
          <w:szCs w:val="22"/>
        </w:rPr>
        <w:t>16.  Description of subject improvements, including all structures, square footage, physical age, type of construction, quality of construction, condition, site improvements, etc.</w:t>
      </w:r>
    </w:p>
    <w:p w14:paraId="2F618AE0" w14:textId="77777777" w:rsidR="00C247CF" w:rsidRDefault="00C247CF" w:rsidP="00C247CF">
      <w:pPr>
        <w:snapToGrid w:val="0"/>
        <w:spacing w:after="120" w:line="240" w:lineRule="atLeast"/>
        <w:ind w:left="720"/>
        <w:rPr>
          <w:rFonts w:cs="Arial"/>
          <w:sz w:val="18"/>
          <w:szCs w:val="18"/>
        </w:rPr>
      </w:pPr>
      <w:r>
        <w:rPr>
          <w:rFonts w:cs="Arial"/>
          <w:szCs w:val="22"/>
        </w:rPr>
        <w:t>17.  Subject leasing and operating cost history.</w:t>
      </w:r>
    </w:p>
    <w:p w14:paraId="4C196ECB" w14:textId="77777777" w:rsidR="00C247CF" w:rsidRDefault="00C247CF" w:rsidP="00C247CF">
      <w:pPr>
        <w:snapToGrid w:val="0"/>
        <w:spacing w:after="120" w:line="240" w:lineRule="atLeast"/>
        <w:ind w:left="1170" w:right="90" w:hanging="450"/>
        <w:rPr>
          <w:rFonts w:cs="Arial"/>
          <w:sz w:val="18"/>
          <w:szCs w:val="18"/>
        </w:rPr>
      </w:pPr>
      <w:r>
        <w:rPr>
          <w:rFonts w:cs="Arial"/>
          <w:szCs w:val="22"/>
        </w:rPr>
        <w:t>18.  Opinion of highest and best use for the subject property, based on an in depth analysis supporting the concluded use.  Such support typically requires a discussion of the four criteria or tests utilized to determine the highest and best use of a property.  If alternative feasible uses exist, explain and support market, development, cash flow, and risk factors leading to an ultimate highest and best use decision.</w:t>
      </w:r>
    </w:p>
    <w:p w14:paraId="06BC3D2A" w14:textId="77777777" w:rsidR="00C247CF" w:rsidRDefault="00C247CF" w:rsidP="00C247CF">
      <w:pPr>
        <w:snapToGrid w:val="0"/>
        <w:spacing w:after="120" w:line="240" w:lineRule="atLeast"/>
        <w:ind w:left="1170" w:right="90" w:hanging="450"/>
        <w:rPr>
          <w:rFonts w:cs="Arial"/>
          <w:sz w:val="18"/>
          <w:szCs w:val="18"/>
        </w:rPr>
      </w:pPr>
      <w:r>
        <w:rPr>
          <w:rFonts w:cs="Arial"/>
          <w:szCs w:val="22"/>
        </w:rPr>
        <w:t>19.  All approaches to market value applicable to the property type and in the subject market.  Explain and support the exclusion of any usual approaches to value.</w:t>
      </w:r>
    </w:p>
    <w:p w14:paraId="7E831872" w14:textId="77777777" w:rsidR="00C247CF" w:rsidRDefault="00C247CF" w:rsidP="00C247CF">
      <w:pPr>
        <w:snapToGrid w:val="0"/>
        <w:spacing w:after="120" w:line="240" w:lineRule="atLeast"/>
        <w:ind w:left="720"/>
        <w:rPr>
          <w:rFonts w:cs="Arial"/>
          <w:sz w:val="18"/>
          <w:szCs w:val="18"/>
        </w:rPr>
      </w:pPr>
      <w:r>
        <w:rPr>
          <w:rFonts w:cs="Arial"/>
          <w:szCs w:val="22"/>
        </w:rPr>
        <w:t>20.  Map(s) showing all comparable properties in relation to subject property.</w:t>
      </w:r>
    </w:p>
    <w:p w14:paraId="064DC35B" w14:textId="77777777" w:rsidR="00C247CF" w:rsidRDefault="00C247CF" w:rsidP="00C247CF">
      <w:pPr>
        <w:snapToGrid w:val="0"/>
        <w:spacing w:after="120" w:line="240" w:lineRule="atLeast"/>
        <w:ind w:left="720"/>
        <w:rPr>
          <w:rFonts w:cs="Arial"/>
          <w:sz w:val="18"/>
          <w:szCs w:val="18"/>
        </w:rPr>
      </w:pPr>
      <w:r>
        <w:rPr>
          <w:rFonts w:cs="Arial"/>
          <w:szCs w:val="22"/>
        </w:rPr>
        <w:t>21.  Photographs and plat maps of comparable properties.</w:t>
      </w:r>
    </w:p>
    <w:p w14:paraId="704C29EF" w14:textId="77777777" w:rsidR="00C247CF" w:rsidRDefault="00C247CF" w:rsidP="00C247CF">
      <w:pPr>
        <w:snapToGrid w:val="0"/>
        <w:spacing w:after="120" w:line="240" w:lineRule="atLeast"/>
        <w:ind w:left="1170" w:hanging="450"/>
        <w:rPr>
          <w:rFonts w:cs="Arial"/>
          <w:sz w:val="18"/>
          <w:szCs w:val="18"/>
        </w:rPr>
      </w:pPr>
      <w:r>
        <w:rPr>
          <w:rFonts w:cs="Arial"/>
          <w:szCs w:val="22"/>
        </w:rPr>
        <w:t>22.  In depth discussion of comparable properties, similarities and differences, and comparisons and adjustments to the comparable data, and discussion of the reliability and credibility of the data as it relates to the indicated subject property value.</w:t>
      </w:r>
    </w:p>
    <w:p w14:paraId="34F1B8A6" w14:textId="77777777" w:rsidR="00C247CF" w:rsidRDefault="00C247CF" w:rsidP="00C247CF">
      <w:pPr>
        <w:snapToGrid w:val="0"/>
        <w:spacing w:after="120" w:line="240" w:lineRule="atLeast"/>
        <w:ind w:left="1170" w:hanging="450"/>
        <w:rPr>
          <w:rFonts w:cs="Arial"/>
          <w:sz w:val="18"/>
          <w:szCs w:val="18"/>
        </w:rPr>
      </w:pPr>
      <w:r>
        <w:rPr>
          <w:rFonts w:cs="Arial"/>
          <w:szCs w:val="22"/>
        </w:rPr>
        <w:t>23.  Comparable data sheets: 1) For sales, include information on grantor/grantee, sale/recordation dates, listed or asking price as of date of sale, financing, conditions of sale, buyer motivation, sufficient location information (street address, post mile, and/or distance from local landmarks such as bridges, road intersections, structures, etc.), land/site characteristics, improvements, source of any allocation of sale price between land and improvement, and confirming source. 2).  For listings, also include marketing time from list date to effective date of the appraisal, original list price, changes in list price, broker feedback, if available.  3).  For leases, include significant information such as lessor/lessee, lease date and term, type of lease, rent and escalation, expenses, size of space leased, tenant improvement allowance, concessions, use restrictions, options, and confirming source.</w:t>
      </w:r>
    </w:p>
    <w:p w14:paraId="384597D7" w14:textId="77777777" w:rsidR="00C247CF" w:rsidRDefault="00C247CF" w:rsidP="00C247CF">
      <w:pPr>
        <w:snapToGrid w:val="0"/>
        <w:spacing w:after="120" w:line="240" w:lineRule="atLeast"/>
        <w:ind w:left="1170" w:hanging="450"/>
        <w:rPr>
          <w:rFonts w:cs="Arial"/>
          <w:sz w:val="18"/>
          <w:szCs w:val="18"/>
        </w:rPr>
      </w:pPr>
      <w:r>
        <w:rPr>
          <w:rFonts w:cs="Arial"/>
          <w:szCs w:val="22"/>
        </w:rPr>
        <w:t>24.  Discussion of construction cost methodology, data source used, costs included and excluded, depreciation methodology, a discussion of accrued depreciation from all causes, and remaining economic life.</w:t>
      </w:r>
    </w:p>
    <w:p w14:paraId="60DEDD48" w14:textId="77777777" w:rsidR="00C247CF" w:rsidRDefault="00C247CF" w:rsidP="00C247CF">
      <w:pPr>
        <w:snapToGrid w:val="0"/>
        <w:spacing w:after="120" w:line="240" w:lineRule="atLeast"/>
        <w:ind w:left="1170" w:hanging="450"/>
        <w:rPr>
          <w:rFonts w:cs="Arial"/>
          <w:sz w:val="18"/>
          <w:szCs w:val="18"/>
        </w:rPr>
      </w:pPr>
      <w:r>
        <w:rPr>
          <w:rFonts w:cs="Arial"/>
          <w:szCs w:val="22"/>
        </w:rPr>
        <w:lastRenderedPageBreak/>
        <w:t>25.  Copies of construction cost data including, section and pages of cost manual (date of estimate or date of publication of cost manual must be provided if not indicated on page), copies of cost estimate if provided from another source, and supporting calculations including worksheets or spreadsheets.</w:t>
      </w:r>
    </w:p>
    <w:p w14:paraId="60DC0C9D" w14:textId="77777777" w:rsidR="00C247CF" w:rsidRDefault="00C247CF" w:rsidP="00C247CF">
      <w:pPr>
        <w:snapToGrid w:val="0"/>
        <w:spacing w:after="120" w:line="240" w:lineRule="atLeast"/>
        <w:ind w:left="1170" w:hanging="450"/>
        <w:rPr>
          <w:rFonts w:cs="Arial"/>
          <w:sz w:val="18"/>
          <w:szCs w:val="18"/>
        </w:rPr>
      </w:pPr>
      <w:r>
        <w:rPr>
          <w:rFonts w:cs="Arial"/>
          <w:szCs w:val="22"/>
        </w:rPr>
        <w:t>26.  In part-take situations, a discussion of special benefit and severance damages.</w:t>
      </w:r>
    </w:p>
    <w:p w14:paraId="74DCCDBB" w14:textId="77777777" w:rsidR="00C247CF" w:rsidRDefault="00C247CF" w:rsidP="00C247CF">
      <w:pPr>
        <w:snapToGrid w:val="0"/>
        <w:spacing w:after="120" w:line="240" w:lineRule="atLeast"/>
        <w:ind w:left="1170" w:hanging="450"/>
        <w:rPr>
          <w:rFonts w:cs="Arial"/>
          <w:sz w:val="18"/>
          <w:szCs w:val="18"/>
        </w:rPr>
      </w:pPr>
      <w:r>
        <w:rPr>
          <w:rFonts w:cs="Arial"/>
          <w:szCs w:val="22"/>
        </w:rPr>
        <w:t xml:space="preserve">27.  Include a copy of a recent preliminary title report (within the past year) as an appraisal exhibit and discuss the effect of title exceptions on fair market value.  If unavailable, the appraisal should be made contingent upon review of the preliminary title report and the assumption that there is no affect on value.  </w:t>
      </w:r>
    </w:p>
    <w:p w14:paraId="55CD71F3" w14:textId="77777777" w:rsidR="00C247CF" w:rsidRDefault="00C247CF" w:rsidP="00C247CF">
      <w:pPr>
        <w:snapToGrid w:val="0"/>
        <w:spacing w:after="120" w:line="240" w:lineRule="atLeast"/>
        <w:ind w:left="720"/>
        <w:rPr>
          <w:rFonts w:cs="Arial"/>
          <w:sz w:val="18"/>
          <w:szCs w:val="18"/>
        </w:rPr>
      </w:pPr>
      <w:r>
        <w:rPr>
          <w:rFonts w:cs="Arial"/>
          <w:szCs w:val="22"/>
        </w:rPr>
        <w:t>28.  Implied dedication statement.</w:t>
      </w:r>
    </w:p>
    <w:p w14:paraId="45994A39" w14:textId="77777777" w:rsidR="00C247CF" w:rsidRDefault="00C247CF" w:rsidP="00C247CF">
      <w:pPr>
        <w:snapToGrid w:val="0"/>
        <w:spacing w:after="120" w:line="240" w:lineRule="atLeast"/>
        <w:ind w:left="1170" w:hanging="450"/>
        <w:rPr>
          <w:rFonts w:cs="Arial"/>
          <w:sz w:val="18"/>
          <w:szCs w:val="18"/>
        </w:rPr>
      </w:pPr>
      <w:r>
        <w:rPr>
          <w:rFonts w:cs="Arial"/>
          <w:szCs w:val="22"/>
        </w:rPr>
        <w:t>29.  Reconciliation and final value estimate.  Explain and support conclusions reached.</w:t>
      </w:r>
    </w:p>
    <w:p w14:paraId="24C14978" w14:textId="77777777" w:rsidR="00C247CF" w:rsidRDefault="00C247CF" w:rsidP="00C247CF">
      <w:pPr>
        <w:spacing w:after="120" w:line="240" w:lineRule="atLeast"/>
        <w:ind w:left="720"/>
        <w:rPr>
          <w:rFonts w:ascii="lettergothic" w:hAnsi="lettergothic"/>
          <w:sz w:val="24"/>
          <w:szCs w:val="24"/>
        </w:rPr>
      </w:pPr>
      <w:r>
        <w:rPr>
          <w:rFonts w:cs="Arial"/>
          <w:snapToGrid w:val="0"/>
          <w:szCs w:val="22"/>
        </w:rPr>
        <w:t>30.  Signed Certification consistent with language found in USPAP.</w:t>
      </w:r>
    </w:p>
    <w:p w14:paraId="262C557D" w14:textId="77777777" w:rsidR="00C247CF" w:rsidRDefault="00C247CF" w:rsidP="00C247CF">
      <w:pPr>
        <w:spacing w:after="120" w:line="240" w:lineRule="atLeast"/>
        <w:ind w:left="1170" w:hanging="450"/>
        <w:rPr>
          <w:rFonts w:ascii="lettergothic" w:hAnsi="lettergothic"/>
          <w:sz w:val="24"/>
          <w:szCs w:val="24"/>
        </w:rPr>
      </w:pPr>
      <w:r>
        <w:rPr>
          <w:rFonts w:cs="Arial"/>
          <w:szCs w:val="22"/>
        </w:rPr>
        <w:t>31.  If applicable, in addition to the above, appraisals of telecommunication sites must also provide:</w:t>
      </w:r>
    </w:p>
    <w:p w14:paraId="0DD86E89" w14:textId="77777777" w:rsidR="00C247CF" w:rsidRDefault="00C247CF" w:rsidP="00C247CF">
      <w:pPr>
        <w:spacing w:after="120" w:line="240" w:lineRule="atLeast"/>
        <w:ind w:left="1170" w:hanging="450"/>
        <w:rPr>
          <w:rFonts w:ascii="lettergothic" w:hAnsi="lettergothic"/>
          <w:sz w:val="24"/>
          <w:szCs w:val="24"/>
        </w:rPr>
      </w:pPr>
      <w:r>
        <w:rPr>
          <w:rFonts w:ascii="Symbol" w:hAnsi="Symbol"/>
          <w:color w:val="000000"/>
          <w:szCs w:val="22"/>
        </w:rPr>
        <w:t></w:t>
      </w:r>
      <w:r>
        <w:rPr>
          <w:color w:val="000000"/>
          <w:sz w:val="14"/>
          <w:szCs w:val="14"/>
        </w:rPr>
        <w:t xml:space="preserve">   </w:t>
      </w:r>
      <w:r>
        <w:rPr>
          <w:rFonts w:cs="Arial"/>
          <w:color w:val="000000"/>
          <w:szCs w:val="22"/>
        </w:rPr>
        <w:t>A discussion of m</w:t>
      </w:r>
      <w:r>
        <w:rPr>
          <w:rFonts w:cs="Arial"/>
          <w:snapToGrid w:val="0"/>
          <w:color w:val="000000"/>
          <w:szCs w:val="22"/>
        </w:rPr>
        <w:t>arket conditions and trends including identification of the relevant market, a discussion of supply and demand within the relevant market area and a discussion of the relevant market factors impacting demand for site acquisition and leasing within the relevant market area.</w:t>
      </w:r>
    </w:p>
    <w:p w14:paraId="4315343E" w14:textId="77777777" w:rsidR="00C247CF" w:rsidRDefault="00C247CF" w:rsidP="00C247CF">
      <w:pPr>
        <w:spacing w:after="120" w:line="240" w:lineRule="atLeast"/>
        <w:ind w:left="1170" w:hanging="450"/>
        <w:rPr>
          <w:rFonts w:ascii="lettergothic" w:hAnsi="lettergothic"/>
          <w:sz w:val="24"/>
          <w:szCs w:val="24"/>
        </w:rPr>
      </w:pPr>
      <w:r>
        <w:rPr>
          <w:rFonts w:ascii="Symbol" w:hAnsi="Symbol"/>
          <w:color w:val="000000"/>
          <w:szCs w:val="22"/>
        </w:rPr>
        <w:t></w:t>
      </w:r>
      <w:r>
        <w:rPr>
          <w:color w:val="000000"/>
          <w:sz w:val="14"/>
          <w:szCs w:val="14"/>
        </w:rPr>
        <w:t xml:space="preserve">   </w:t>
      </w:r>
      <w:r>
        <w:rPr>
          <w:rFonts w:cs="Arial"/>
          <w:snapToGrid w:val="0"/>
          <w:color w:val="000000"/>
          <w:szCs w:val="22"/>
        </w:rPr>
        <w:t>An analysis of other (ground and vault) leases comparable to subject property.  Factors to be discussed in the analysis include the latitude, longitude, type of tower, tower height, number of rack spaces, number of racks occupied, placement of racks, power source and adequacy, back-up power, vault and site improvements description and location on site, other utilities; access, and road maintenance costs.</w:t>
      </w:r>
    </w:p>
    <w:p w14:paraId="1F820A63" w14:textId="77777777" w:rsidR="00C247CF" w:rsidRDefault="00C247CF" w:rsidP="00C247CF">
      <w:pPr>
        <w:spacing w:line="240" w:lineRule="atLeast"/>
        <w:ind w:left="1170" w:hanging="450"/>
        <w:rPr>
          <w:rFonts w:cs="Arial"/>
          <w:bCs/>
          <w:color w:val="000000"/>
          <w:szCs w:val="22"/>
        </w:rPr>
      </w:pPr>
      <w:r>
        <w:rPr>
          <w:rFonts w:cs="Arial"/>
          <w:bCs/>
          <w:color w:val="000000"/>
          <w:szCs w:val="22"/>
        </w:rPr>
        <w:t>32.  On occasions where properties involve personal property, business interests, water rights, minerals, or merchantable timber separate valuations may be necessary.  If the Appraiser determines that there are such property interests or rights requiring a separate valuation, the appraiser shall notify his/her client.  The client may choose to modify the appraisal request to include a separate valuation by an appropriate credentialed subject matter specialist.  In such cases, the appraisal package submitted to DGS for review should include the real estate appraisal and a separate appraisal/valuation of the personal property, business interests, water rights, minerals, or merchantable timber by a credentialed subject matter specialist, together with a review of this separate appraisal/valuation by a second credentialed subject matter specialist.</w:t>
      </w:r>
    </w:p>
    <w:p w14:paraId="5AD545F7" w14:textId="77777777" w:rsidR="00517698" w:rsidRDefault="00517698"/>
    <w:sectPr w:rsidR="00517698" w:rsidSect="0051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etter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CF"/>
    <w:rsid w:val="00517698"/>
    <w:rsid w:val="00AA68C8"/>
    <w:rsid w:val="00C2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23F382E5"/>
  <w15:docId w15:val="{D4D2A171-09BC-4AD1-B2B7-6C3F7040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C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4" ma:contentTypeDescription="Create a new document." ma:contentTypeScope="" ma:versionID="04543c51bdff5d14933d0661230af6dc">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0fbe9346538b9b7fc29370a139056279"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D1F8A-5787-44F8-94B6-E7DC4F770F80}"/>
</file>

<file path=customXml/itemProps2.xml><?xml version="1.0" encoding="utf-8"?>
<ds:datastoreItem xmlns:ds="http://schemas.openxmlformats.org/officeDocument/2006/customXml" ds:itemID="{9F54E0EC-69E0-4C75-AE7E-D667046952FB}"/>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Company>California Natural Resources Agency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penny.harding</dc:creator>
  <cp:keywords/>
  <dc:description/>
  <cp:lastModifiedBy>Lundeen, Albert@CNRA</cp:lastModifiedBy>
  <cp:revision>2</cp:revision>
  <dcterms:created xsi:type="dcterms:W3CDTF">2023-05-23T18:08:00Z</dcterms:created>
  <dcterms:modified xsi:type="dcterms:W3CDTF">2023-05-23T18:08:00Z</dcterms:modified>
</cp:coreProperties>
</file>