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F8" w:rsidRPr="00032AEB" w:rsidRDefault="005C35F8" w:rsidP="005C35F8">
      <w:pPr>
        <w:pStyle w:val="Heading2"/>
        <w:rPr>
          <w:b/>
          <w:bCs/>
          <w:caps/>
          <w:sz w:val="24"/>
          <w:szCs w:val="24"/>
        </w:rPr>
      </w:pPr>
      <w:bookmarkStart w:id="0" w:name="_Toc89834240"/>
      <w:bookmarkStart w:id="1" w:name="_Toc108410720"/>
      <w:bookmarkStart w:id="2" w:name="_Toc109441835"/>
      <w:r>
        <w:rPr>
          <w:b/>
          <w:bCs/>
          <w:caps/>
          <w:sz w:val="24"/>
          <w:szCs w:val="24"/>
        </w:rPr>
        <w:t>GGRF</w:t>
      </w:r>
      <w:r w:rsidRPr="00032AEB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–</w:t>
      </w:r>
      <w:r w:rsidRPr="00032AEB">
        <w:rPr>
          <w:b/>
          <w:bCs/>
          <w:caps/>
          <w:sz w:val="24"/>
          <w:szCs w:val="24"/>
        </w:rPr>
        <w:t xml:space="preserve"> </w:t>
      </w:r>
      <w:bookmarkEnd w:id="0"/>
      <w:bookmarkEnd w:id="1"/>
      <w:bookmarkEnd w:id="2"/>
      <w:r>
        <w:rPr>
          <w:b/>
          <w:bCs/>
          <w:caps/>
          <w:sz w:val="24"/>
          <w:szCs w:val="24"/>
        </w:rPr>
        <w:t xml:space="preserve">Funding Recognition </w:t>
      </w:r>
    </w:p>
    <w:p w:rsidR="005C35F8" w:rsidRDefault="005C35F8" w:rsidP="005C35F8">
      <w:pPr>
        <w:ind w:left="360"/>
        <w:jc w:val="both"/>
      </w:pPr>
      <w:bookmarkStart w:id="3" w:name="_Toc88468977"/>
      <w:bookmarkStart w:id="4" w:name="_Toc85448319"/>
      <w:bookmarkStart w:id="5" w:name="_Toc85016154"/>
    </w:p>
    <w:p w:rsidR="005C35F8" w:rsidRDefault="005C35F8" w:rsidP="005C35F8">
      <w:pPr>
        <w:jc w:val="both"/>
      </w:pPr>
      <w:r w:rsidRPr="00871D44">
        <w:t>All Grantees are required to post a sign at the pr</w:t>
      </w:r>
      <w:r w:rsidRPr="00032AEB">
        <w:t xml:space="preserve">oject site.  The sign must be available for the final inspection of the </w:t>
      </w:r>
      <w:r>
        <w:t>p</w:t>
      </w:r>
      <w:r w:rsidRPr="00032AEB">
        <w:t xml:space="preserve">roject.  There is no minimum or maximum size other than the minimum size for the logo </w:t>
      </w:r>
      <w:proofErr w:type="gramStart"/>
      <w:r w:rsidRPr="00032AEB">
        <w:t>as long as</w:t>
      </w:r>
      <w:proofErr w:type="gramEnd"/>
      <w:r w:rsidRPr="00032AEB">
        <w:t xml:space="preserve"> the sig</w:t>
      </w:r>
      <w:r>
        <w:t>n contains the required wording and is legible to visitors.</w:t>
      </w:r>
    </w:p>
    <w:p w:rsidR="005C35F8" w:rsidRPr="00032AEB" w:rsidRDefault="005C35F8" w:rsidP="005C35F8">
      <w:pPr>
        <w:jc w:val="both"/>
      </w:pPr>
    </w:p>
    <w:p w:rsidR="005C35F8" w:rsidRDefault="005C35F8" w:rsidP="005C35F8">
      <w:r w:rsidRPr="00032AEB">
        <w:rPr>
          <w:b/>
          <w:bCs/>
        </w:rPr>
        <w:t>Types of Signs</w:t>
      </w:r>
      <w:bookmarkEnd w:id="3"/>
      <w:bookmarkEnd w:id="4"/>
      <w:bookmarkEnd w:id="5"/>
    </w:p>
    <w:p w:rsidR="005C35F8" w:rsidRPr="00032AEB" w:rsidRDefault="005C35F8" w:rsidP="005C35F8">
      <w:pPr>
        <w:pStyle w:val="BodyText3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032AEB">
        <w:rPr>
          <w:sz w:val="24"/>
          <w:szCs w:val="24"/>
        </w:rPr>
        <w:t xml:space="preserve">A sign is required during construction.  </w:t>
      </w:r>
    </w:p>
    <w:p w:rsidR="005C35F8" w:rsidRPr="00871D44" w:rsidRDefault="005C35F8" w:rsidP="005C35F8">
      <w:pPr>
        <w:pStyle w:val="BodyText3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871D44">
        <w:rPr>
          <w:sz w:val="24"/>
          <w:szCs w:val="24"/>
        </w:rPr>
        <w:t>A sign must be posted upon completion</w:t>
      </w:r>
      <w:r>
        <w:rPr>
          <w:sz w:val="24"/>
          <w:szCs w:val="24"/>
        </w:rPr>
        <w:t xml:space="preserve"> (1 &amp; 2 could be the same if sign is durable)</w:t>
      </w:r>
    </w:p>
    <w:p w:rsidR="005C35F8" w:rsidRPr="00032AEB" w:rsidRDefault="005C35F8" w:rsidP="005C35F8">
      <w:pPr>
        <w:jc w:val="both"/>
        <w:rPr>
          <w:b/>
          <w:bCs/>
          <w:sz w:val="16"/>
          <w:szCs w:val="16"/>
          <w:u w:val="single"/>
        </w:rPr>
      </w:pPr>
    </w:p>
    <w:tbl>
      <w:tblPr>
        <w:tblpPr w:leftFromText="187" w:rightFromText="187" w:vertAnchor="text" w:horzAnchor="page" w:tblpX="6352" w:tblpY="56"/>
        <w:tblOverlap w:val="never"/>
        <w:tblW w:w="48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4862"/>
      </w:tblGrid>
      <w:tr w:rsidR="005C35F8" w:rsidRPr="00032AEB" w:rsidTr="005536C9">
        <w:trPr>
          <w:trHeight w:val="3918"/>
        </w:trPr>
        <w:tc>
          <w:tcPr>
            <w:tcW w:w="4862" w:type="dxa"/>
            <w:shd w:val="clear" w:color="auto" w:fill="auto"/>
          </w:tcPr>
          <w:p w:rsidR="005C35F8" w:rsidRPr="001E0B44" w:rsidRDefault="005C35F8" w:rsidP="005536C9">
            <w:pPr>
              <w:pStyle w:val="BodyText"/>
              <w:jc w:val="center"/>
              <w:rPr>
                <w:bCs/>
                <w:sz w:val="20"/>
                <w:szCs w:val="20"/>
              </w:rPr>
            </w:pPr>
            <w:bookmarkStart w:id="6" w:name="_Toc88468978"/>
            <w:bookmarkStart w:id="7" w:name="_Toc85448320"/>
            <w:bookmarkStart w:id="8" w:name="_Toc85016155"/>
            <w:r w:rsidRPr="001E0B44">
              <w:rPr>
                <w:bCs/>
                <w:sz w:val="20"/>
                <w:szCs w:val="20"/>
              </w:rPr>
              <w:t>Project Title/Description</w:t>
            </w:r>
          </w:p>
          <w:p w:rsidR="005C35F8" w:rsidRPr="001E0B44" w:rsidRDefault="005C35F8" w:rsidP="005536C9">
            <w:pPr>
              <w:pStyle w:val="BodyTextIndent"/>
              <w:jc w:val="center"/>
              <w:rPr>
                <w:sz w:val="16"/>
                <w:szCs w:val="16"/>
              </w:rPr>
            </w:pPr>
          </w:p>
          <w:p w:rsidR="005C35F8" w:rsidRDefault="005C35F8" w:rsidP="005536C9">
            <w:pPr>
              <w:pStyle w:val="BodyTextInden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project funded by California Climate Investments through the California Natural Resources Agency’s</w:t>
            </w:r>
          </w:p>
          <w:p w:rsidR="005C35F8" w:rsidRDefault="005C35F8" w:rsidP="005536C9">
            <w:pPr>
              <w:pStyle w:val="BodyTextIndent"/>
              <w:jc w:val="center"/>
            </w:pPr>
            <w:r>
              <w:rPr>
                <w:sz w:val="20"/>
                <w:szCs w:val="20"/>
              </w:rPr>
              <w:t>Urban Greening Program</w:t>
            </w:r>
          </w:p>
          <w:p w:rsidR="005C35F8" w:rsidRDefault="005C35F8" w:rsidP="005536C9">
            <w:pPr>
              <w:rPr>
                <w:b/>
                <w:bCs/>
              </w:rPr>
            </w:pPr>
          </w:p>
          <w:p w:rsidR="005C35F8" w:rsidRDefault="005C35F8" w:rsidP="005536C9">
            <w:pPr>
              <w:rPr>
                <w:b/>
                <w:bCs/>
              </w:rPr>
            </w:pPr>
          </w:p>
          <w:p w:rsidR="005C35F8" w:rsidRDefault="005C35F8" w:rsidP="005536C9">
            <w:pPr>
              <w:tabs>
                <w:tab w:val="left" w:pos="2975"/>
                <w:tab w:val="right" w:pos="4646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0CDDB08" wp14:editId="745864E5">
                  <wp:extent cx="1399743" cy="1101283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_logo_tag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233" cy="110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7E239EB9" wp14:editId="378D1C6A">
                  <wp:extent cx="1349675" cy="92392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an Greening logo 4 inch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80" cy="921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5F8" w:rsidRDefault="005C35F8" w:rsidP="005536C9">
            <w:pPr>
              <w:tabs>
                <w:tab w:val="left" w:pos="2798"/>
              </w:tabs>
              <w:ind w:left="2340" w:hanging="234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C35F8" w:rsidRDefault="005C35F8" w:rsidP="005536C9">
            <w:pPr>
              <w:rPr>
                <w:b/>
                <w:bCs/>
              </w:rPr>
            </w:pPr>
          </w:p>
          <w:p w:rsidR="005C35F8" w:rsidRDefault="005C35F8" w:rsidP="005536C9">
            <w:pPr>
              <w:rPr>
                <w:b/>
                <w:bCs/>
              </w:rPr>
            </w:pPr>
          </w:p>
          <w:p w:rsidR="005C35F8" w:rsidRDefault="005C35F8" w:rsidP="005536C9">
            <w:pPr>
              <w:rPr>
                <w:b/>
                <w:bCs/>
              </w:rPr>
            </w:pPr>
          </w:p>
          <w:p w:rsidR="005C35F8" w:rsidRPr="001E0B44" w:rsidRDefault="00F30C5B" w:rsidP="005536C9">
            <w:pPr>
              <w:rPr>
                <w:b/>
                <w:bCs/>
              </w:rPr>
            </w:pPr>
            <w:r>
              <w:rPr>
                <w:b/>
                <w:bCs/>
              </w:rPr>
              <w:t>GAVIN NEWSOM</w:t>
            </w:r>
            <w:r w:rsidR="005C35F8" w:rsidRPr="00EB7E4B">
              <w:rPr>
                <w:b/>
                <w:bCs/>
              </w:rPr>
              <w:t>,</w:t>
            </w:r>
            <w:r w:rsidR="005C35F8" w:rsidRPr="001E0B44">
              <w:rPr>
                <w:b/>
                <w:bCs/>
              </w:rPr>
              <w:t xml:space="preserve"> GOVERNOR</w:t>
            </w:r>
          </w:p>
          <w:p w:rsidR="005C35F8" w:rsidRPr="001E0B44" w:rsidRDefault="00F30C5B" w:rsidP="00F30C5B">
            <w:r>
              <w:t>Wade Crowfoot</w:t>
            </w:r>
            <w:r w:rsidR="00A0211A">
              <w:t>, Secretary for</w:t>
            </w:r>
            <w:bookmarkStart w:id="9" w:name="_GoBack"/>
            <w:bookmarkEnd w:id="9"/>
            <w:r w:rsidR="005C35F8">
              <w:t xml:space="preserve"> Natural Resources</w:t>
            </w:r>
          </w:p>
          <w:p w:rsidR="005C35F8" w:rsidRPr="001E0B44" w:rsidRDefault="005C35F8" w:rsidP="005536C9">
            <w:pPr>
              <w:jc w:val="both"/>
            </w:pPr>
          </w:p>
        </w:tc>
      </w:tr>
    </w:tbl>
    <w:p w:rsidR="005C35F8" w:rsidRPr="00032AEB" w:rsidRDefault="005C35F8" w:rsidP="005C35F8">
      <w:pPr>
        <w:jc w:val="both"/>
        <w:rPr>
          <w:b/>
          <w:bCs/>
        </w:rPr>
      </w:pPr>
      <w:r w:rsidRPr="00032AEB">
        <w:rPr>
          <w:b/>
          <w:bCs/>
        </w:rPr>
        <w:t>Language for Signs</w:t>
      </w:r>
      <w:bookmarkEnd w:id="6"/>
      <w:bookmarkEnd w:id="7"/>
      <w:bookmarkEnd w:id="8"/>
    </w:p>
    <w:p w:rsidR="005C35F8" w:rsidRPr="00032AEB" w:rsidRDefault="005C35F8" w:rsidP="005C35F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D611" wp14:editId="652C0F8F">
                <wp:simplePos x="0" y="0"/>
                <wp:positionH relativeFrom="column">
                  <wp:posOffset>1455420</wp:posOffset>
                </wp:positionH>
                <wp:positionV relativeFrom="paragraph">
                  <wp:posOffset>261620</wp:posOffset>
                </wp:positionV>
                <wp:extent cx="1485900" cy="0"/>
                <wp:effectExtent l="17145" t="71120" r="30480" b="71755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0317" id="Line 7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20.6pt" to="23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" strokeweight="2.25pt">
                <v:stroke endarrow="block"/>
              </v:line>
            </w:pict>
          </mc:Fallback>
        </mc:AlternateContent>
      </w:r>
      <w:r w:rsidRPr="00032AEB">
        <w:t xml:space="preserve">All signs will contain the following minimum language: </w:t>
      </w:r>
    </w:p>
    <w:p w:rsidR="005C35F8" w:rsidRPr="00032AEB" w:rsidRDefault="005C35F8" w:rsidP="005C35F8">
      <w:pPr>
        <w:jc w:val="both"/>
      </w:pPr>
      <w:r w:rsidRPr="00032AEB">
        <w:t xml:space="preserve">The name of the director of the local agency or other governing body may also be added. The sign may also include the names (and/or logos) of other partners, </w:t>
      </w:r>
      <w:r>
        <w:t xml:space="preserve">funding </w:t>
      </w:r>
      <w:r w:rsidRPr="00032AEB">
        <w:t>organizations, individuals and elected representatives.</w:t>
      </w:r>
    </w:p>
    <w:p w:rsidR="005C35F8" w:rsidRPr="00032AEB" w:rsidRDefault="005C35F8" w:rsidP="005C35F8">
      <w:pPr>
        <w:jc w:val="both"/>
        <w:rPr>
          <w:sz w:val="16"/>
          <w:szCs w:val="16"/>
        </w:rPr>
      </w:pPr>
    </w:p>
    <w:p w:rsidR="005C35F8" w:rsidRPr="00032AEB" w:rsidRDefault="005C35F8" w:rsidP="005C35F8">
      <w:pPr>
        <w:jc w:val="both"/>
        <w:rPr>
          <w:b/>
        </w:rPr>
      </w:pPr>
      <w:r w:rsidRPr="00032AEB">
        <w:rPr>
          <w:b/>
        </w:rPr>
        <w:t xml:space="preserve">Logo </w:t>
      </w:r>
    </w:p>
    <w:p w:rsidR="005C35F8" w:rsidRPr="00CB79A5" w:rsidRDefault="005C35F8" w:rsidP="005C35F8">
      <w:pPr>
        <w:jc w:val="both"/>
      </w:pPr>
      <w:r w:rsidRPr="00032AEB">
        <w:t>All signs must contain a universal logo</w:t>
      </w:r>
      <w:r>
        <w:t xml:space="preserve"> for California Climate Investments and the Urban Greening Program logo</w:t>
      </w:r>
      <w:r w:rsidRPr="00032AEB">
        <w:t xml:space="preserve"> (see </w:t>
      </w:r>
      <w:r>
        <w:t>the box to the right</w:t>
      </w:r>
      <w:r w:rsidRPr="00A64DCE">
        <w:t>)</w:t>
      </w:r>
      <w:r>
        <w:t xml:space="preserve">. </w:t>
      </w:r>
      <w:r w:rsidRPr="00A64DCE">
        <w:t>The logo</w:t>
      </w:r>
      <w:r>
        <w:t>s are</w:t>
      </w:r>
      <w:r w:rsidRPr="00A64DCE">
        <w:t xml:space="preserve"> available at</w:t>
      </w:r>
      <w:r>
        <w:t xml:space="preserve"> </w:t>
      </w:r>
      <w:hyperlink r:id="rId7" w:history="1">
        <w:r w:rsidRPr="00CB79A5">
          <w:rPr>
            <w:rStyle w:val="Hyperlink"/>
          </w:rPr>
          <w:t>http://resources.ca.gov/grants/logo-art/</w:t>
        </w:r>
      </w:hyperlink>
      <w:r w:rsidRPr="00CB79A5">
        <w:t>.</w:t>
      </w:r>
      <w:r w:rsidRPr="00032AEB">
        <w:t>The logo</w:t>
      </w:r>
      <w:r>
        <w:t>s</w:t>
      </w:r>
      <w:r w:rsidRPr="00032AEB">
        <w:t xml:space="preserve"> must be mounted in an area to maximize visibility and durability.  Each side of the logo must be a minimum of </w:t>
      </w:r>
      <w:r>
        <w:t>1</w:t>
      </w:r>
      <w:r w:rsidRPr="00032AEB">
        <w:t>’X</w:t>
      </w:r>
      <w:r>
        <w:t>1</w:t>
      </w:r>
      <w:r w:rsidRPr="00032AEB">
        <w:t>’</w:t>
      </w:r>
      <w:r>
        <w:t xml:space="preserve"> -- </w:t>
      </w:r>
      <w:r w:rsidRPr="00032AEB">
        <w:t xml:space="preserve">exceptions may be approved when appropriate.  </w:t>
      </w:r>
    </w:p>
    <w:p w:rsidR="005C35F8" w:rsidRPr="00032AEB" w:rsidRDefault="005C35F8" w:rsidP="005C35F8">
      <w:pPr>
        <w:jc w:val="both"/>
        <w:rPr>
          <w:b/>
          <w:sz w:val="16"/>
          <w:szCs w:val="16"/>
        </w:rPr>
      </w:pPr>
    </w:p>
    <w:p w:rsidR="005C35F8" w:rsidRPr="00032AEB" w:rsidRDefault="005C35F8" w:rsidP="005C35F8">
      <w:pPr>
        <w:jc w:val="both"/>
        <w:rPr>
          <w:b/>
        </w:rPr>
      </w:pPr>
      <w:r w:rsidRPr="00032AEB">
        <w:rPr>
          <w:b/>
        </w:rPr>
        <w:t>Sign Construction</w:t>
      </w:r>
    </w:p>
    <w:p w:rsidR="005C35F8" w:rsidRPr="00032AEB" w:rsidRDefault="005C35F8" w:rsidP="005C35F8">
      <w:pPr>
        <w:jc w:val="both"/>
      </w:pPr>
      <w:r w:rsidRPr="00032AEB">
        <w:t>All materials used shall be durable and resistant to the elements and graffiti.  The California Department of Parks and Recreation and California Department of Transportation standards can be used as a guide for gauge of metal, quality of paints, mounting specifications, etc.</w:t>
      </w:r>
    </w:p>
    <w:p w:rsidR="005C35F8" w:rsidRPr="00032AEB" w:rsidRDefault="005C35F8" w:rsidP="005C35F8">
      <w:pPr>
        <w:jc w:val="both"/>
        <w:rPr>
          <w:sz w:val="16"/>
          <w:szCs w:val="16"/>
        </w:rPr>
      </w:pPr>
      <w:r w:rsidRPr="00032AEB">
        <w:t xml:space="preserve"> </w:t>
      </w:r>
    </w:p>
    <w:p w:rsidR="005C35F8" w:rsidRPr="00032AEB" w:rsidRDefault="005C35F8" w:rsidP="005C35F8">
      <w:pPr>
        <w:jc w:val="both"/>
        <w:rPr>
          <w:b/>
        </w:rPr>
      </w:pPr>
      <w:r w:rsidRPr="00032AEB">
        <w:rPr>
          <w:b/>
        </w:rPr>
        <w:t>Sign Duration</w:t>
      </w:r>
    </w:p>
    <w:p w:rsidR="005C35F8" w:rsidRPr="00854067" w:rsidRDefault="005C35F8" w:rsidP="005C35F8">
      <w:pPr>
        <w:jc w:val="both"/>
      </w:pPr>
      <w:r w:rsidRPr="00D10E40">
        <w:t xml:space="preserve">Project signs must be in place for a minimum of </w:t>
      </w:r>
      <w:r w:rsidRPr="00854067">
        <w:t xml:space="preserve">four (4) years from date of project completion. </w:t>
      </w:r>
    </w:p>
    <w:p w:rsidR="005C35F8" w:rsidRPr="00032AEB" w:rsidRDefault="005C35F8" w:rsidP="005C35F8">
      <w:pPr>
        <w:pStyle w:val="Footer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5C35F8" w:rsidRPr="00032AEB" w:rsidRDefault="005C35F8" w:rsidP="005C35F8">
      <w:pPr>
        <w:jc w:val="both"/>
        <w:rPr>
          <w:b/>
          <w:bCs/>
        </w:rPr>
      </w:pPr>
      <w:r w:rsidRPr="00032AEB">
        <w:rPr>
          <w:b/>
          <w:bCs/>
        </w:rPr>
        <w:t>Sign Cost</w:t>
      </w:r>
    </w:p>
    <w:p w:rsidR="005C35F8" w:rsidRPr="00032AEB" w:rsidRDefault="005C35F8" w:rsidP="005C35F8">
      <w:pPr>
        <w:jc w:val="both"/>
      </w:pPr>
      <w:r w:rsidRPr="00032AEB">
        <w:t>The cost of the sign(s) is an eligible project cost.  More perma</w:t>
      </w:r>
      <w:r>
        <w:t>nent signage is encouraged.</w:t>
      </w:r>
    </w:p>
    <w:p w:rsidR="005C35F8" w:rsidRPr="00032AEB" w:rsidRDefault="005C35F8" w:rsidP="005C35F8">
      <w:pPr>
        <w:pStyle w:val="Footer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5C35F8" w:rsidRPr="00032AEB" w:rsidRDefault="005C35F8" w:rsidP="005C35F8">
      <w:pPr>
        <w:jc w:val="both"/>
        <w:rPr>
          <w:b/>
          <w:bCs/>
        </w:rPr>
      </w:pPr>
      <w:r w:rsidRPr="00032AEB">
        <w:rPr>
          <w:b/>
          <w:bCs/>
        </w:rPr>
        <w:t>Appropriateness of Signs</w:t>
      </w:r>
    </w:p>
    <w:p w:rsidR="005C35F8" w:rsidRPr="00032AEB" w:rsidRDefault="005C35F8" w:rsidP="005C35F8">
      <w:pPr>
        <w:jc w:val="both"/>
      </w:pPr>
      <w:r w:rsidRPr="00032AEB">
        <w:lastRenderedPageBreak/>
        <w:t xml:space="preserve">For projects where the required sign may be out of place or where </w:t>
      </w:r>
      <w:r>
        <w:t>covered</w:t>
      </w:r>
      <w:r w:rsidRPr="00032AEB">
        <w:t xml:space="preserve"> by local sign ordinances, the </w:t>
      </w:r>
      <w:r>
        <w:t>g</w:t>
      </w:r>
      <w:r w:rsidRPr="00032AEB">
        <w:t xml:space="preserve">rants </w:t>
      </w:r>
      <w:r>
        <w:t>a</w:t>
      </w:r>
      <w:r w:rsidRPr="00032AEB">
        <w:t xml:space="preserve">dministrator in consultation with the </w:t>
      </w:r>
      <w:r>
        <w:t>g</w:t>
      </w:r>
      <w:r w:rsidRPr="00032AEB">
        <w:t xml:space="preserve">rantee may authorize a sign that is appropriate to the </w:t>
      </w:r>
      <w:r>
        <w:t>p</w:t>
      </w:r>
      <w:r w:rsidRPr="00032AEB">
        <w:t xml:space="preserve">roject in question.  </w:t>
      </w:r>
    </w:p>
    <w:p w:rsidR="005C35F8" w:rsidRPr="00032AEB" w:rsidRDefault="005C35F8" w:rsidP="005C35F8">
      <w:pPr>
        <w:jc w:val="both"/>
        <w:rPr>
          <w:sz w:val="16"/>
          <w:szCs w:val="16"/>
        </w:rPr>
      </w:pPr>
    </w:p>
    <w:p w:rsidR="005C35F8" w:rsidRPr="00032AEB" w:rsidRDefault="005C35F8" w:rsidP="005C35F8">
      <w:pPr>
        <w:jc w:val="both"/>
        <w:rPr>
          <w:b/>
          <w:bCs/>
        </w:rPr>
      </w:pPr>
      <w:r w:rsidRPr="00032AEB">
        <w:rPr>
          <w:b/>
          <w:bCs/>
        </w:rPr>
        <w:t>Signs on State Highways</w:t>
      </w:r>
    </w:p>
    <w:p w:rsidR="005C35F8" w:rsidRPr="00032AEB" w:rsidRDefault="005C35F8" w:rsidP="005C35F8">
      <w:pPr>
        <w:jc w:val="both"/>
      </w:pPr>
      <w:r w:rsidRPr="00032AEB">
        <w:t xml:space="preserve">Signs placed within the state highway right-of-way may require a Caltrans encroachment permit. Contact your local Caltrans District Office early in the </w:t>
      </w:r>
      <w:r>
        <w:t>p</w:t>
      </w:r>
      <w:r w:rsidRPr="00032AEB">
        <w:t xml:space="preserve">lanning </w:t>
      </w:r>
      <w:r>
        <w:t>process</w:t>
      </w:r>
      <w:r w:rsidRPr="00032AEB">
        <w:t xml:space="preserve"> for more information.  </w:t>
      </w:r>
      <w:r>
        <w:t xml:space="preserve">Visit </w:t>
      </w:r>
      <w:hyperlink r:id="rId8" w:history="1">
        <w:r w:rsidRPr="00603273">
          <w:rPr>
            <w:rStyle w:val="Hyperlink"/>
          </w:rPr>
          <w:t>http://dot.ca.gov/hq/construc/districtmap.htm</w:t>
        </w:r>
      </w:hyperlink>
      <w:r>
        <w:rPr>
          <w:rStyle w:val="Hyperlink"/>
        </w:rPr>
        <w:t xml:space="preserve"> </w:t>
      </w:r>
      <w:r>
        <w:t xml:space="preserve">to locate your Caltrans District Office. </w:t>
      </w:r>
    </w:p>
    <w:p w:rsidR="005C35F8" w:rsidRDefault="005C35F8" w:rsidP="005C35F8">
      <w:pPr>
        <w:jc w:val="both"/>
        <w:rPr>
          <w:b/>
          <w:bCs/>
        </w:rPr>
      </w:pPr>
    </w:p>
    <w:p w:rsidR="005C35F8" w:rsidRDefault="005C35F8" w:rsidP="005C35F8">
      <w:pPr>
        <w:jc w:val="both"/>
        <w:rPr>
          <w:b/>
          <w:bCs/>
        </w:rPr>
      </w:pPr>
    </w:p>
    <w:p w:rsidR="005C35F8" w:rsidRPr="00032AEB" w:rsidRDefault="005C35F8" w:rsidP="005C35F8">
      <w:pPr>
        <w:jc w:val="both"/>
      </w:pPr>
      <w:r w:rsidRPr="00032AEB">
        <w:rPr>
          <w:b/>
          <w:bCs/>
        </w:rPr>
        <w:t>State Approval</w:t>
      </w:r>
    </w:p>
    <w:p w:rsidR="005C35F8" w:rsidRPr="00032AEB" w:rsidRDefault="005C35F8" w:rsidP="005C35F8">
      <w:pPr>
        <w:jc w:val="both"/>
      </w:pPr>
      <w:r w:rsidRPr="00032AEB">
        <w:t>The Grantee shall submit proposed locations, size, number of signs</w:t>
      </w:r>
      <w:r>
        <w:t xml:space="preserve">, </w:t>
      </w:r>
      <w:r w:rsidRPr="00032AEB">
        <w:t>language</w:t>
      </w:r>
      <w:r>
        <w:t>, and design</w:t>
      </w:r>
      <w:r w:rsidRPr="00032AEB">
        <w:t xml:space="preserve"> for review prior to ordering signs.  Funds for </w:t>
      </w:r>
      <w:r>
        <w:t>development</w:t>
      </w:r>
      <w:r w:rsidRPr="00032AEB">
        <w:t xml:space="preserve"> projects will not be reimbursed until signage has been approved and installed.  </w:t>
      </w:r>
    </w:p>
    <w:p w:rsidR="005C35F8" w:rsidRDefault="005C35F8" w:rsidP="005C35F8">
      <w:pPr>
        <w:pStyle w:val="Heading2"/>
        <w:rPr>
          <w:szCs w:val="24"/>
        </w:rPr>
      </w:pPr>
    </w:p>
    <w:p w:rsidR="005C35F8" w:rsidRPr="000F4B9B" w:rsidRDefault="005C35F8" w:rsidP="005C35F8">
      <w:pPr>
        <w:jc w:val="both"/>
      </w:pPr>
      <w:r w:rsidRPr="000F4B9B">
        <w:rPr>
          <w:b/>
          <w:bCs/>
        </w:rPr>
        <w:t>Program Recognition</w:t>
      </w:r>
    </w:p>
    <w:p w:rsidR="005C35F8" w:rsidRDefault="005C35F8" w:rsidP="005C35F8">
      <w:pPr>
        <w:jc w:val="both"/>
      </w:pPr>
      <w:r w:rsidRPr="000F4B9B">
        <w:t xml:space="preserve">The Grantee shall use the text below, in conjunction with the California Climate Investments logo and the Urban Greening logo on any project announcements, flyers, and new releases.   </w:t>
      </w:r>
    </w:p>
    <w:p w:rsidR="005C35F8" w:rsidRDefault="005C35F8" w:rsidP="005C35F8">
      <w:pPr>
        <w:jc w:val="both"/>
      </w:pPr>
    </w:p>
    <w:p w:rsidR="005C35F8" w:rsidRPr="00DD44DC" w:rsidRDefault="005C35F8" w:rsidP="005C35F8">
      <w:pPr>
        <w:jc w:val="both"/>
      </w:pPr>
      <w:r>
        <w:t>“</w:t>
      </w:r>
      <w:r w:rsidRPr="000F4B9B">
        <w:t xml:space="preserve">The Urban Greening Program is part of California Climate Investments, a statewide program that puts billions of cap-and-trade dollars to work reducing greenhouse gas emissions, strengthening the economy and improving public health and the environment—particularly in disadvantaged communities. The cap-and-trade program also creates a financial incentive for industries to invest in clean technologies and develop innovative ways to reduce pollution. California Climate Investment projects include affordable housing, renewable energy, public transportation, zero-emission vehicles, environmental restoration, more sustainable agriculture, recycling and much more. At least 35 percent of these investments are made in disadvantaged and low-income communities. For more information, visit </w:t>
      </w:r>
      <w:hyperlink r:id="rId9" w:history="1">
        <w:r w:rsidRPr="000F4B9B">
          <w:rPr>
            <w:rStyle w:val="Hyperlink"/>
            <w:i/>
            <w:iCs/>
          </w:rPr>
          <w:t>California Climate Investments</w:t>
        </w:r>
      </w:hyperlink>
      <w:r w:rsidRPr="000F4B9B">
        <w:rPr>
          <w:i/>
          <w:iCs/>
        </w:rPr>
        <w:t>.</w:t>
      </w:r>
      <w:r w:rsidRPr="000F4B9B">
        <w:rPr>
          <w:iCs/>
        </w:rPr>
        <w:t>”</w:t>
      </w:r>
    </w:p>
    <w:p w:rsidR="00D5177D" w:rsidRPr="005C35F8" w:rsidRDefault="00D5177D">
      <w:pPr>
        <w:rPr>
          <w:b/>
        </w:rPr>
      </w:pPr>
    </w:p>
    <w:sectPr w:rsidR="00D5177D" w:rsidRPr="005C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3C85"/>
    <w:multiLevelType w:val="hybridMultilevel"/>
    <w:tmpl w:val="F482DFA4"/>
    <w:lvl w:ilvl="0" w:tplc="EED85D6E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F8"/>
    <w:rsid w:val="005C35F8"/>
    <w:rsid w:val="00A0211A"/>
    <w:rsid w:val="00CB158C"/>
    <w:rsid w:val="00D5177D"/>
    <w:rsid w:val="00F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A332"/>
  <w15:chartTrackingRefBased/>
  <w15:docId w15:val="{E0FAE1DE-0292-412B-A960-9976B0E1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5F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35F8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35F8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5C35F8"/>
    <w:pPr>
      <w:tabs>
        <w:tab w:val="center" w:pos="4320"/>
        <w:tab w:val="right" w:pos="8640"/>
      </w:tabs>
    </w:pPr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C35F8"/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5C35F8"/>
    <w:pPr>
      <w:tabs>
        <w:tab w:val="left" w:pos="-720"/>
        <w:tab w:val="left" w:pos="0"/>
      </w:tabs>
      <w:suppressAutoHyphens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C35F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5C35F8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5C35F8"/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5C35F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5C35F8"/>
    <w:pPr>
      <w:tabs>
        <w:tab w:val="left" w:pos="-720"/>
      </w:tabs>
      <w:suppressAutoHyphens/>
      <w:jc w:val="both"/>
    </w:pPr>
    <w:rPr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C35F8"/>
    <w:rPr>
      <w:rFonts w:ascii="Arial" w:hAnsi="Arial" w:cs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ca.gov/hq/construc/districtma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s.ca.gov/grants/logo-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b.ca.gov/cc/capandtrade/auctionproceeds/auctionprocee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GGRF – Funding Recognition </vt:lpstr>
      <vt:lpstr>    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Taillon, Cristelle@CNRA</dc:creator>
  <cp:keywords/>
  <dc:description/>
  <cp:lastModifiedBy>Taillon, Cristelle@CNRA</cp:lastModifiedBy>
  <cp:revision>3</cp:revision>
  <dcterms:created xsi:type="dcterms:W3CDTF">2018-11-13T23:34:00Z</dcterms:created>
  <dcterms:modified xsi:type="dcterms:W3CDTF">2019-03-12T21:26:00Z</dcterms:modified>
</cp:coreProperties>
</file>